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223" w:right="99" w:firstLine="0"/>
        <w:jc w:val="center"/>
        <w:rPr>
          <w:rFonts w:ascii="Palatino Linotype"/>
          <w:b/>
          <w:i/>
          <w:sz w:val="36"/>
        </w:rPr>
      </w:pPr>
      <w:r>
        <w:rPr/>
        <w:pict>
          <v:group style="position:absolute;margin-left:43.25pt;margin-top:22.25pt;width:527.75pt;height:743.75pt;mso-position-horizontal-relative:page;mso-position-vertical-relative:page;z-index:-2608" coordorigin="865,445" coordsize="10555,14875">
            <v:rect style="position:absolute;left:885;top:465;width:10515;height:14835" filled="false" stroked="true" strokeweight="2pt" strokecolor="#c0504d">
              <v:stroke dashstyle="solid"/>
            </v:rect>
            <v:shape style="position:absolute;left:3329;top:4368;width:5582;height:3984" type="#_x0000_t75" stroked="false">
              <v:imagedata r:id="rId5" o:title=""/>
            </v:shape>
            <v:shape style="position:absolute;left:1169;top:8611;width:3257;height:2518" type="#_x0000_t75" stroked="false">
              <v:imagedata r:id="rId6" o:title=""/>
            </v:shape>
            <v:shape style="position:absolute;left:7994;top:8537;width:3137;height:2710" type="#_x0000_t75" stroked="false">
              <v:imagedata r:id="rId7" o:title=""/>
            </v:shape>
            <w10:wrap type="none"/>
          </v:group>
        </w:pict>
      </w:r>
      <w:r>
        <w:rPr>
          <w:rFonts w:ascii="Palatino Linotype"/>
          <w:b/>
          <w:i/>
          <w:w w:val="120"/>
          <w:sz w:val="36"/>
        </w:rPr>
        <w:t>Saints Mary and Edward Catholic Church</w:t>
      </w:r>
    </w:p>
    <w:p>
      <w:pPr>
        <w:spacing w:line="367" w:lineRule="exact" w:before="9"/>
        <w:ind w:left="232" w:right="99" w:firstLine="0"/>
        <w:jc w:val="center"/>
        <w:rPr>
          <w:b/>
          <w:sz w:val="28"/>
        </w:rPr>
      </w:pPr>
      <w:r>
        <w:rPr>
          <w:b/>
          <w:sz w:val="32"/>
        </w:rPr>
        <w:t>Invites you to a </w:t>
      </w:r>
      <w:r>
        <w:rPr>
          <w:b/>
          <w:sz w:val="28"/>
        </w:rPr>
        <w:t>Night of Praise and Worship</w:t>
      </w:r>
    </w:p>
    <w:p>
      <w:pPr>
        <w:pStyle w:val="Heading1"/>
        <w:spacing w:line="431" w:lineRule="exact"/>
        <w:ind w:left="222"/>
        <w:rPr>
          <w:i/>
        </w:rPr>
      </w:pPr>
      <w:r>
        <w:rPr>
          <w:i/>
          <w:w w:val="120"/>
        </w:rPr>
        <w:t>La Iglesia Católica Santa María y San Eduardo</w:t>
      </w:r>
    </w:p>
    <w:p>
      <w:pPr>
        <w:spacing w:before="6"/>
        <w:ind w:left="226" w:right="99" w:firstLine="0"/>
        <w:jc w:val="center"/>
        <w:rPr>
          <w:b/>
          <w:sz w:val="32"/>
        </w:rPr>
      </w:pPr>
      <w:r>
        <w:rPr>
          <w:b/>
          <w:sz w:val="28"/>
        </w:rPr>
        <w:t>te invita A Una </w:t>
      </w:r>
      <w:r>
        <w:rPr>
          <w:b/>
          <w:sz w:val="32"/>
        </w:rPr>
        <w:t>Noche de Alabanza y Adoración</w:t>
      </w:r>
    </w:p>
    <w:p>
      <w:pPr>
        <w:pStyle w:val="Heading1"/>
        <w:spacing w:before="273"/>
        <w:rPr>
          <w:i/>
        </w:rPr>
      </w:pPr>
      <w:r>
        <w:rPr>
          <w:i/>
          <w:w w:val="115"/>
        </w:rPr>
        <w:t>With JORGE MOREL</w:t>
      </w:r>
    </w:p>
    <w:p>
      <w:pPr>
        <w:spacing w:line="242" w:lineRule="auto" w:before="4"/>
        <w:ind w:left="1523" w:right="1601" w:firstLine="0"/>
        <w:jc w:val="center"/>
        <w:rPr>
          <w:rFonts w:ascii="Palatino Linotype"/>
          <w:b/>
          <w:i/>
          <w:sz w:val="24"/>
        </w:rPr>
      </w:pPr>
      <w:r>
        <w:rPr>
          <w:rFonts w:ascii="Palatino Linotype"/>
          <w:b/>
          <w:i/>
          <w:w w:val="120"/>
          <w:sz w:val="24"/>
        </w:rPr>
        <w:t>Singer, songwriter from Dominican Republic </w:t>
      </w:r>
      <w:r>
        <w:rPr>
          <w:rFonts w:ascii="Palatino Linotype"/>
          <w:b/>
          <w:i/>
          <w:w w:val="115"/>
          <w:sz w:val="24"/>
        </w:rPr>
        <w:t>Con JORGE</w:t>
      </w:r>
      <w:r>
        <w:rPr>
          <w:rFonts w:ascii="Palatino Linotype"/>
          <w:b/>
          <w:i/>
          <w:spacing w:val="-51"/>
          <w:w w:val="115"/>
          <w:sz w:val="24"/>
        </w:rPr>
        <w:t> </w:t>
      </w:r>
      <w:r>
        <w:rPr>
          <w:rFonts w:ascii="Palatino Linotype"/>
          <w:b/>
          <w:i/>
          <w:w w:val="115"/>
          <w:sz w:val="24"/>
        </w:rPr>
        <w:t>MOREL</w:t>
      </w:r>
    </w:p>
    <w:p>
      <w:pPr>
        <w:spacing w:line="376" w:lineRule="exact" w:before="0"/>
        <w:ind w:left="24" w:right="99" w:firstLine="0"/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w w:val="120"/>
          <w:sz w:val="24"/>
        </w:rPr>
        <w:t>Cantautor originario de República </w:t>
      </w:r>
      <w:r>
        <w:rPr>
          <w:rFonts w:ascii="Palatino Linotype" w:hAnsi="Palatino Linotype"/>
          <w:b/>
          <w:i/>
          <w:w w:val="120"/>
          <w:sz w:val="28"/>
        </w:rPr>
        <w:t>Dominicana</w:t>
      </w: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rPr>
          <w:rFonts w:ascii="Palatino Linotype"/>
          <w:i/>
          <w:sz w:val="38"/>
        </w:rPr>
      </w:pPr>
    </w:p>
    <w:p>
      <w:pPr>
        <w:pStyle w:val="BodyText"/>
        <w:spacing w:before="7"/>
        <w:rPr>
          <w:rFonts w:ascii="Palatino Linotype"/>
          <w:i/>
          <w:sz w:val="38"/>
        </w:rPr>
      </w:pPr>
    </w:p>
    <w:p>
      <w:pPr>
        <w:pStyle w:val="Heading2"/>
        <w:spacing w:line="242" w:lineRule="auto"/>
        <w:ind w:left="3606" w:right="3474"/>
      </w:pPr>
      <w:r>
        <w:rPr>
          <w:i/>
          <w:w w:val="120"/>
        </w:rPr>
        <w:t>The Band of </w:t>
      </w:r>
      <w:r>
        <w:rPr>
          <w:w w:val="120"/>
        </w:rPr>
        <w:t>Emmaus</w:t>
      </w:r>
    </w:p>
    <w:p>
      <w:pPr>
        <w:spacing w:before="0"/>
        <w:ind w:left="230" w:right="99" w:firstLine="0"/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w w:val="120"/>
          <w:sz w:val="28"/>
        </w:rPr>
        <w:t>La Banda de Emaús</w:t>
      </w:r>
    </w:p>
    <w:p>
      <w:pPr>
        <w:spacing w:before="286"/>
        <w:ind w:left="259" w:right="99" w:firstLine="0"/>
        <w:jc w:val="center"/>
        <w:rPr>
          <w:rFonts w:ascii="Palatino Linotype"/>
          <w:b/>
          <w:i/>
          <w:sz w:val="22"/>
        </w:rPr>
      </w:pPr>
      <w:r>
        <w:rPr>
          <w:rFonts w:ascii="Palatino Linotype"/>
          <w:b/>
          <w:i/>
          <w:w w:val="130"/>
          <w:sz w:val="22"/>
        </w:rPr>
        <w:t>AND</w:t>
      </w:r>
    </w:p>
    <w:p>
      <w:pPr>
        <w:pStyle w:val="BodyText"/>
        <w:spacing w:before="11"/>
        <w:rPr>
          <w:rFonts w:ascii="Palatino Linotype"/>
          <w:i/>
          <w:sz w:val="19"/>
        </w:rPr>
      </w:pPr>
    </w:p>
    <w:p>
      <w:pPr>
        <w:pStyle w:val="BodyText"/>
        <w:spacing w:before="90"/>
        <w:ind w:left="377" w:right="99"/>
        <w:jc w:val="center"/>
      </w:pPr>
      <w:r>
        <w:rPr/>
        <w:t>The Hispanic Choir</w:t>
      </w:r>
    </w:p>
    <w:p>
      <w:pPr>
        <w:pStyle w:val="BodyText"/>
        <w:ind w:left="2246" w:right="1965"/>
        <w:jc w:val="center"/>
      </w:pPr>
      <w:r>
        <w:rPr/>
        <w:t>of Saints Mary and Edward Catholic Church Y el Coro Hispano</w:t>
      </w:r>
    </w:p>
    <w:p>
      <w:pPr>
        <w:pStyle w:val="BodyText"/>
        <w:ind w:left="378" w:right="99"/>
        <w:jc w:val="center"/>
      </w:pPr>
      <w:r>
        <w:rPr/>
        <w:t>de la Iglesia Católica Santa María y San Eduardo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98" w:right="99"/>
        <w:jc w:val="center"/>
      </w:pPr>
      <w:r>
        <w:rPr/>
        <w:t>KIRBY CULTURAL ARTS COMPLEX -213 N. Main St, Roxboro, NC</w:t>
      </w:r>
    </w:p>
    <w:p>
      <w:pPr>
        <w:spacing w:line="321" w:lineRule="exact" w:before="1"/>
        <w:ind w:left="99" w:right="99" w:firstLine="0"/>
        <w:jc w:val="center"/>
        <w:rPr>
          <w:b/>
          <w:i/>
          <w:sz w:val="28"/>
        </w:rPr>
      </w:pPr>
      <w:r>
        <w:rPr>
          <w:b/>
          <w:sz w:val="28"/>
        </w:rPr>
        <w:t>August 28 from 7pm – 10pm – </w:t>
      </w:r>
      <w:r>
        <w:rPr>
          <w:b/>
          <w:i/>
          <w:sz w:val="28"/>
        </w:rPr>
        <w:t>28 de Agosto de 7pm – 10pm</w:t>
      </w:r>
    </w:p>
    <w:p>
      <w:pPr>
        <w:spacing w:line="275" w:lineRule="exact" w:before="0"/>
        <w:ind w:left="99" w:right="99" w:firstLine="0"/>
        <w:jc w:val="center"/>
        <w:rPr>
          <w:b/>
          <w:i/>
          <w:sz w:val="24"/>
        </w:rPr>
      </w:pPr>
      <w:r>
        <w:rPr>
          <w:b/>
          <w:sz w:val="24"/>
        </w:rPr>
        <w:t>Cost per ticket $20 adults and $10 children – </w:t>
      </w:r>
      <w:r>
        <w:rPr>
          <w:b/>
          <w:i/>
          <w:sz w:val="24"/>
        </w:rPr>
        <w:t>Costo por boleto $20 adultos y $10 niños</w:t>
      </w:r>
    </w:p>
    <w:p>
      <w:pPr>
        <w:pStyle w:val="BodyText"/>
        <w:ind w:left="97" w:right="99"/>
        <w:jc w:val="center"/>
      </w:pPr>
      <w:r>
        <w:rPr/>
        <w:t>(Tickets will be sold at the entrance of the Theater and</w:t>
      </w:r>
    </w:p>
    <w:p>
      <w:pPr>
        <w:pStyle w:val="BodyText"/>
        <w:ind w:left="99" w:right="99"/>
        <w:jc w:val="center"/>
      </w:pPr>
      <w:r>
        <w:rPr/>
        <w:t>at Sts. Mary and Edward Catholic Church 611 N Main St Sundays after each Mass)</w:t>
      </w:r>
    </w:p>
    <w:p>
      <w:pPr>
        <w:spacing w:before="0"/>
        <w:ind w:left="98" w:right="9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(Los boletos se venderán a la entrada del Teatro</w:t>
      </w:r>
    </w:p>
    <w:p>
      <w:pPr>
        <w:spacing w:before="0"/>
        <w:ind w:left="1085" w:right="109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y en la Iglesia Católica Santa María y San Eduardo; 611 N Main St </w:t>
      </w:r>
      <w:r>
        <w:rPr>
          <w:b/>
          <w:i/>
          <w:sz w:val="24"/>
        </w:rPr>
        <w:t>los Domingos después de la Misa)</w:t>
      </w:r>
    </w:p>
    <w:sectPr>
      <w:type w:val="continuous"/>
      <w:pgSz w:w="12240" w:h="15840"/>
      <w:pgMar w:top="540" w:bottom="280" w:left="17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9" w:right="99"/>
      <w:jc w:val="center"/>
      <w:outlineLvl w:val="1"/>
    </w:pPr>
    <w:rPr>
      <w:rFonts w:ascii="Palatino Linotype" w:hAnsi="Palatino Linotype" w:eastAsia="Palatino Linotype" w:cs="Palatino Linotype"/>
      <w:b/>
      <w:bCs/>
      <w:i/>
      <w:sz w:val="32"/>
      <w:szCs w:val="32"/>
    </w:rPr>
  </w:style>
  <w:style w:styleId="Heading2" w:type="paragraph">
    <w:name w:val="Heading 2"/>
    <w:basedOn w:val="Normal"/>
    <w:uiPriority w:val="1"/>
    <w:qFormat/>
    <w:pPr>
      <w:ind w:left="230" w:right="99"/>
      <w:jc w:val="center"/>
      <w:outlineLvl w:val="2"/>
    </w:pPr>
    <w:rPr>
      <w:rFonts w:ascii="Palatino Linotype" w:hAnsi="Palatino Linotype" w:eastAsia="Palatino Linotype" w:cs="Palatino Linotype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romero</dc:creator>
  <dcterms:created xsi:type="dcterms:W3CDTF">2021-07-28T12:11:36Z</dcterms:created>
  <dcterms:modified xsi:type="dcterms:W3CDTF">2021-07-28T12:11:36Z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2021-07-28T00:00:00Z</vt:filetime>
  </property>
</Properties>
</file>